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08E" w:rsidRPr="001955E9" w:rsidRDefault="00F0008E" w:rsidP="00F0008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17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:rsidR="00F0008E" w:rsidRPr="001955E9" w:rsidRDefault="00F0008E" w:rsidP="00F0008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:rsidR="00F0008E" w:rsidRPr="001955E9" w:rsidRDefault="00F0008E" w:rsidP="00F0008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 dnia 31 maja 2025 r.</w:t>
      </w: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 sprawie: Ordynacji wyborczej do władz i organów Polskiego Związku Wędkarskiego</w:t>
      </w:r>
    </w:p>
    <w:p w:rsidR="00F0008E" w:rsidRPr="001955E9" w:rsidRDefault="00F0008E" w:rsidP="00F0008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Na podstawie § 30 pkt 4 Statutu PZW z dnia 08.02.2025 r.,</w:t>
      </w: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:rsidR="00F0008E" w:rsidRPr="001955E9" w:rsidRDefault="00F0008E" w:rsidP="00F0008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Ordynację wyborczą do władz i organów PZW w kampanii sprawozdawczo-wyborczej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do XXXIII Krajowego Zjazdu Delegatów w brzmieniu załącznika do niniejszej uchwały.</w:t>
      </w:r>
    </w:p>
    <w:p w:rsidR="00F0008E" w:rsidRPr="001955E9" w:rsidRDefault="00F0008E" w:rsidP="00F0008E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:rsidR="00F0008E" w:rsidRPr="001955E9" w:rsidRDefault="00F0008E" w:rsidP="00F0008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:rsidR="00F0008E" w:rsidRPr="001955E9" w:rsidRDefault="00F0008E" w:rsidP="00F0008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Sekretarz ZG PZW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Prezes ZG PZW</w:t>
      </w:r>
    </w:p>
    <w:p w:rsidR="00F0008E" w:rsidRPr="001955E9" w:rsidRDefault="00F0008E" w:rsidP="00F0008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Dariusz Dziemianowicz 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Beata Olejarz</w:t>
      </w: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:rsidR="00F0008E" w:rsidRDefault="00F0008E" w:rsidP="00F0008E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:rsidR="00F0008E" w:rsidRDefault="00F0008E" w:rsidP="00F0008E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:rsidR="00F0008E" w:rsidRDefault="00F0008E" w:rsidP="00F0008E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lastRenderedPageBreak/>
        <w:t xml:space="preserve">Załącznik do Uchwały nr </w:t>
      </w:r>
      <w:r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>17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>/V/2025</w:t>
      </w:r>
    </w:p>
    <w:p w:rsidR="00F0008E" w:rsidRPr="001955E9" w:rsidRDefault="00F0008E" w:rsidP="00F0008E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>ZG PZW z dn. 31.05.2025 r.</w:t>
      </w: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1955E9">
        <w:rPr>
          <w:rFonts w:ascii="Times New Roman" w:eastAsia="Times New Roman" w:hAnsi="Times New Roman"/>
          <w:b/>
          <w:sz w:val="26"/>
          <w:szCs w:val="26"/>
          <w:lang w:eastAsia="ar-SA"/>
        </w:rPr>
        <w:t>ORDYNACJA WYBORCZA</w:t>
      </w: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1955E9">
        <w:rPr>
          <w:rFonts w:ascii="Times New Roman" w:eastAsia="Times New Roman" w:hAnsi="Times New Roman"/>
          <w:b/>
          <w:sz w:val="26"/>
          <w:szCs w:val="26"/>
          <w:lang w:eastAsia="ar-SA"/>
        </w:rPr>
        <w:t>do władz i organów Polskiego Związku Wędkarskiego</w:t>
      </w:r>
    </w:p>
    <w:p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1</w:t>
      </w:r>
    </w:p>
    <w:p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Ustalenia ogólne</w:t>
      </w:r>
    </w:p>
    <w:p w:rsidR="00F0008E" w:rsidRPr="001955E9" w:rsidRDefault="00F0008E" w:rsidP="00F0008E">
      <w:pPr>
        <w:numPr>
          <w:ilvl w:val="0"/>
          <w:numId w:val="2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Wybory do władz i organów Polskiego Związku Wędkarskiego odbywają się:</w:t>
      </w:r>
    </w:p>
    <w:p w:rsidR="00F0008E" w:rsidRPr="001955E9" w:rsidRDefault="00F0008E" w:rsidP="00F0008E">
      <w:pPr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kołach – na walnym zgromadzeniu sprawozdawczo-wyborczym członków koła,</w:t>
      </w:r>
    </w:p>
    <w:p w:rsidR="00F0008E" w:rsidRPr="001955E9" w:rsidRDefault="00F0008E" w:rsidP="00F0008E">
      <w:pPr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okręgach - na okręgowym zjeździe delegatów,</w:t>
      </w:r>
    </w:p>
    <w:p w:rsidR="00F0008E" w:rsidRPr="001955E9" w:rsidRDefault="00F0008E" w:rsidP="00F0008E">
      <w:pPr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na szczeblu krajowym – na Krajowym Zjeździe Delegatów.</w:t>
      </w:r>
    </w:p>
    <w:p w:rsidR="00F0008E" w:rsidRPr="001955E9" w:rsidRDefault="00F0008E" w:rsidP="00F0008E">
      <w:pPr>
        <w:numPr>
          <w:ilvl w:val="0"/>
          <w:numId w:val="2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Statutowym prawem członka Związku jest czynne i bierne prawo wyborcze. Członek traci bierne prawo wyborcze, gdy:</w:t>
      </w:r>
    </w:p>
    <w:p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jest członkiem innej organizacji wędkarskiej, której statut lub działania są sprzeczne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z interesem Związku,</w:t>
      </w:r>
    </w:p>
    <w:p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był w składzie ustępującego zarządu, który nie otrzymał absolutorium, </w:t>
      </w:r>
    </w:p>
    <w:p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został ukarany zgodnie z § 16 ust.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7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Statutu PZW,</w:t>
      </w:r>
    </w:p>
    <w:p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utracił członkostwo w Polskim Związku Wędkarskim. </w:t>
      </w:r>
    </w:p>
    <w:p w:rsidR="00F0008E" w:rsidRPr="001955E9" w:rsidRDefault="00F0008E" w:rsidP="00F0008E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Głosowanie w sprawie absolutorium dla ustępujących zarządów odbywa się w głosowaniu jawnym. </w:t>
      </w:r>
    </w:p>
    <w:p w:rsidR="00F0008E" w:rsidRPr="001955E9" w:rsidRDefault="00F0008E" w:rsidP="00F0008E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Wybory do władz i organów okręgu oraz władz i organów krajowych odbywają się według Ordynacji uchwalonej przez Zarząd Główny. Wybory do władz i organów koła odbywają się według Ordynacji wyborczej uchwalonej przez zarząd okręgu. Ordynacje wyborcze dla kół winny być zgodne z zapisami niniejszej Ordynacji. Okręgi są zobowiązane do publikowania na swoich oficjalnych stronach internetowych portalu związkowego terminów zebrań sprawozdawczo-wyborczych w kołach. </w:t>
      </w:r>
    </w:p>
    <w:p w:rsidR="00F0008E" w:rsidRPr="001955E9" w:rsidRDefault="00F0008E" w:rsidP="00F0008E">
      <w:pPr>
        <w:numPr>
          <w:ilvl w:val="0"/>
          <w:numId w:val="1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Członek Związku, który po wyborach do władz i organów pierwotnego koła przeniósł się do innego koła, nie może wybierać ani być wybieranym do władz i organów koła, którego został członkiem w tej samej kampanii wyborczej.</w:t>
      </w:r>
    </w:p>
    <w:p w:rsidR="00F0008E" w:rsidRPr="001955E9" w:rsidRDefault="00F0008E" w:rsidP="00F0008E">
      <w:pPr>
        <w:numPr>
          <w:ilvl w:val="0"/>
          <w:numId w:val="1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Członek Związku, będący jego pracownikiem,  który został wybrany do władz lub organu równorzędnego bądź wyższego szczebla organizacyjnego Związku, traci funkcję, jeśli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terminie 3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dni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od daty wyboru nie złoży wniosku o rozwiązanie umowy o pracę zgodnie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 § 18 ust. 5 Statutu PZW.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2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Wybór delegatów na okręgowe zjazdy delegatów oraz Krajowy Zjazd Delegatów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1. Delegaci oraz zastępcy delegatów na okręgowy zjazd wybierani są na sprawozdawczo- wyborczych walnych zgromadzeniach członków kół.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2. Delegaci oraz zastępcy delegatów na Krajowy Zjazd Delegatów wybierani są na okręgowych zjazdach delegatów.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3. Liczbę</w:t>
      </w:r>
      <w:r w:rsidRPr="001955E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delegatów na Krajowy Zjazd Delegatów ustala się proporcjonalnie do stanu członków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okręgu na dzień 31 grudnia roku poprzedzającego Krajowy Zjazd Delegatów:</w:t>
      </w:r>
    </w:p>
    <w:p w:rsidR="00F0008E" w:rsidRPr="001955E9" w:rsidRDefault="00F0008E" w:rsidP="00F0008E">
      <w:pPr>
        <w:numPr>
          <w:ilvl w:val="0"/>
          <w:numId w:val="13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okręgi do 5 tys. członków - 1 delegat</w:t>
      </w:r>
    </w:p>
    <w:p w:rsidR="00F0008E" w:rsidRPr="001955E9" w:rsidRDefault="00F0008E" w:rsidP="00F0008E">
      <w:pPr>
        <w:numPr>
          <w:ilvl w:val="0"/>
          <w:numId w:val="13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okręgi powyżej 5 tys. członków -</w:t>
      </w:r>
      <w:r w:rsidRPr="001955E9">
        <w:rPr>
          <w:rFonts w:ascii="Times New Roman" w:eastAsia="Times New Roman" w:hAnsi="Times New Roman"/>
          <w:color w:val="4472C4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każde rozpoczęte 5 tysięcy plus 2,5 tysiąca członków – następny delegat.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4. Mandat delegata/ów i jego zastępcy/ów na Zjazd zachowuje ważność w okresie kadencji,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z zastrzeżeniem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§ 20 ust. 7 Statutu PZW.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5. Mandat delegata wygasa w przypadku: </w:t>
      </w:r>
    </w:p>
    <w:p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złożenia pisemnej rezygnacji,</w:t>
      </w:r>
    </w:p>
    <w:p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ukarania zgodnie z § 16 ust. 7 Statutu PZW,</w:t>
      </w:r>
    </w:p>
    <w:p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kern w:val="2"/>
          <w:sz w:val="24"/>
          <w:szCs w:val="24"/>
          <w:lang w:eastAsia="hi-IN" w:bidi="hi-IN"/>
        </w:rPr>
        <w:t xml:space="preserve"> przejścia delegata do innego okręgu, dotyczy Zjazdu Krajowego i okręgowego -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§</w:t>
      </w:r>
      <w:r w:rsidRPr="001955E9">
        <w:rPr>
          <w:rFonts w:ascii="Times New Roman" w:eastAsia="Times New Roman" w:hAnsi="Times New Roman"/>
          <w:bCs/>
          <w:iCs/>
          <w:kern w:val="2"/>
          <w:sz w:val="24"/>
          <w:szCs w:val="24"/>
          <w:lang w:eastAsia="hi-IN" w:bidi="hi-IN"/>
        </w:rPr>
        <w:t xml:space="preserve"> 18 ust. 8 Statutu PZW,</w:t>
      </w:r>
    </w:p>
    <w:p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likwidacji okręgu,</w:t>
      </w:r>
    </w:p>
    <w:p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śmierci.</w:t>
      </w:r>
    </w:p>
    <w:p w:rsidR="00F0008E" w:rsidRPr="001955E9" w:rsidRDefault="00F0008E" w:rsidP="00F0008E">
      <w:pPr>
        <w:numPr>
          <w:ilvl w:val="0"/>
          <w:numId w:val="15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Wakujący mandat przejmuje zastępca delegata, pod warunkiem złożenia pisemnej rezygnacji przez delegata najpóźniej do chwili otwarcia zjazdu.</w:t>
      </w:r>
    </w:p>
    <w:p w:rsidR="00F0008E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3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Zasady wyborów do władz i organów szczebla krajowego i okręgowego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1. Wybory do władz i organów szczebla krajowego i okręgowego odbywają się wyłącznie spośród delegatów na Zjazd, w głosowaniu tajnym. 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2. Członek ma prawo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ab/>
        <w:t>być wybranym do pełnienia tylko jednej funkcji z wyboru we władzach lub organach Związku danego szczebla organizacyjnego.</w:t>
      </w:r>
    </w:p>
    <w:p w:rsidR="00F0008E" w:rsidRPr="001955E9" w:rsidRDefault="00F0008E" w:rsidP="00F0008E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3. Krajowy Zjazd Delegatów wybiera prezesa Zarządu Głównego oraz w liczbie wskazanej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Statucie PZW:</w:t>
      </w:r>
    </w:p>
    <w:p w:rsidR="00F0008E" w:rsidRPr="001955E9" w:rsidRDefault="00F0008E" w:rsidP="00F0008E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Zarząd Główny,</w:t>
      </w:r>
    </w:p>
    <w:p w:rsidR="00F0008E" w:rsidRPr="001955E9" w:rsidRDefault="00F0008E" w:rsidP="00F0008E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Główną Komisję Rewizyjną, </w:t>
      </w:r>
    </w:p>
    <w:p w:rsidR="00F0008E" w:rsidRPr="001955E9" w:rsidRDefault="00F0008E" w:rsidP="00F0008E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Główny Sąd Koleżeński. </w:t>
      </w:r>
    </w:p>
    <w:p w:rsidR="00F0008E" w:rsidRPr="001955E9" w:rsidRDefault="00F0008E" w:rsidP="00F0008E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4. Okręgowy zjazd delegatów wybiera prezesa zarządu okręgu oraz w liczbie wskazanej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Statucie PZW:</w:t>
      </w:r>
    </w:p>
    <w:p w:rsidR="00F0008E" w:rsidRPr="001955E9" w:rsidRDefault="00F0008E" w:rsidP="00F0008E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zarząd okręgu,</w:t>
      </w:r>
    </w:p>
    <w:p w:rsidR="00F0008E" w:rsidRPr="001955E9" w:rsidRDefault="00F0008E" w:rsidP="00F0008E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okręgową komisję rewizyjną,</w:t>
      </w:r>
    </w:p>
    <w:p w:rsidR="00F0008E" w:rsidRPr="001955E9" w:rsidRDefault="00F0008E" w:rsidP="00F0008E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okręgowy sąd koleżeński.</w:t>
      </w:r>
    </w:p>
    <w:p w:rsidR="00F0008E" w:rsidRPr="001955E9" w:rsidRDefault="00F0008E" w:rsidP="00F0008E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delegatów na krajowy zjazd delegatów i ich zastępców.</w:t>
      </w:r>
    </w:p>
    <w:p w:rsidR="00F0008E" w:rsidRPr="001955E9" w:rsidRDefault="00F0008E" w:rsidP="00F0008E">
      <w:pPr>
        <w:tabs>
          <w:tab w:val="left" w:pos="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5. Wyboru zastępców delegatów dokonuje się w liczbie nie większej niż liczba delegatów na Krajowy Zjazd Delegatów. 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4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Procedura wyborcza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1. W celu przeprowadzenia wyborów do władz i organów Związku zgodnie z regulaminem obrad przyjętym przez, odpowiednio: Walne zgromadzenie sprawozdawczo-wyborcze członków koła, Okręgowy Zjazd Delegatów, Krajowy Zjazd Delegatów powołuje się:</w:t>
      </w:r>
    </w:p>
    <w:p w:rsidR="00F0008E" w:rsidRPr="001955E9" w:rsidRDefault="00F0008E" w:rsidP="00F0008E">
      <w:pPr>
        <w:numPr>
          <w:ilvl w:val="0"/>
          <w:numId w:val="11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Komisję Mandatową, której zadaniem jest sprawdzenie ważności członkostwa na podstawie legitymacji członkowskiej PZW lub innego dokumentu potwierdzającego wniesienie składki członkowskiej wraz z legitymacją PZW, weryfikacja ważności mandatów delegatów, ustalenie liczby uprawnionych do udziału w Zjeździe oraz liczby obecnych wg listy obecności,</w:t>
      </w:r>
    </w:p>
    <w:p w:rsidR="00F0008E" w:rsidRPr="001955E9" w:rsidRDefault="00F0008E" w:rsidP="00F0008E">
      <w:pPr>
        <w:numPr>
          <w:ilvl w:val="0"/>
          <w:numId w:val="11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Komisję Wyborczą, której zadaniem jest ustalenie i przedstawienie Zjazdowi propozycji listy kandydatów do władz i organów Związku, w liczbie ustalonej przez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Zjazd, jak również nadzór nad przestrzeganiem zasad określonych w Ordynacji wyborczej,</w:t>
      </w:r>
    </w:p>
    <w:p w:rsidR="00F0008E" w:rsidRPr="001955E9" w:rsidRDefault="00F0008E" w:rsidP="00F0008E">
      <w:pPr>
        <w:numPr>
          <w:ilvl w:val="0"/>
          <w:numId w:val="11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Komisję Skrutacyjną, której zadaniem jest przygotowanie kart do głosowania, </w:t>
      </w:r>
      <w:r w:rsidRPr="000E3962">
        <w:rPr>
          <w:rFonts w:ascii="Times New Roman" w:eastAsia="Times New Roman" w:hAnsi="Times New Roman"/>
          <w:sz w:val="24"/>
          <w:szCs w:val="24"/>
          <w:lang w:eastAsia="ar-SA"/>
        </w:rPr>
        <w:t>przeprowadzenie głosowania, w tym policzeni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Pr="000E3962">
        <w:rPr>
          <w:rFonts w:ascii="Times New Roman" w:eastAsia="Times New Roman" w:hAnsi="Times New Roman"/>
          <w:sz w:val="24"/>
          <w:szCs w:val="24"/>
          <w:lang w:eastAsia="ar-SA"/>
        </w:rPr>
        <w:t xml:space="preserve"> głosów, sporządzenie protokołu oraz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ogłoszenie wyniku wyborów; przy czym  członkowie Komisji Skrutacyjnej nie mogą być kandydatami do władz i organów Związku;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F0008E" w:rsidRPr="001955E9" w:rsidRDefault="00F0008E" w:rsidP="00F0008E">
      <w:pPr>
        <w:suppressAutoHyphens/>
        <w:spacing w:before="100" w:after="10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2. Kandydatów do komisji zgłasza przewodniczący Zjazdu oraz delegaci. Wybór komisji odbywa się w głosowaniu jawnym. Wybrane komisje konstytuują się, wybierając ze swego składu przewodniczącego i sekretarza.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3. Z przebiegu prac komisje sporządzają protokoły, a przewodniczący komisji składają Zjazdowi sprawozdanie z działalności.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4. Kandydaci do pełnienia funkcji prezesa, do władz i organów Związku, powinni wyrazić zgodę na kandydowanie osobiście, a w przypadku nieobecności przekazać do przewodniczącego Zjazdu deklarację na piśmie, za pośrednictwem właściwego ustępującego zarządu, najpóźniej do momentu rozpoczęcia procedury wyborczej przez Zjazd. 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5. Delegaci głosują osobiście. 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6. Delegat, składając głos do urny, obowiązany jest okazać członkowi Komisji Skrutacyjnej mandat delegata.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7. Procesy wyborcze na walnych zgromadzeniach członków i zjazdach, odbywają się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z zachowaniem następującej kolejności:</w:t>
      </w:r>
    </w:p>
    <w:p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prezesa,</w:t>
      </w:r>
    </w:p>
    <w:p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ustalenie składu liczbowego władz i organów,</w:t>
      </w:r>
    </w:p>
    <w:p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ustalenie liczby zastępców delegatów (nie dotyczy Krajowego Zjazdu Delegatów),</w:t>
      </w:r>
    </w:p>
    <w:p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władz i organów,</w:t>
      </w:r>
    </w:p>
    <w:p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delegatów,</w:t>
      </w:r>
    </w:p>
    <w:p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zastępców delegatów.</w:t>
      </w:r>
    </w:p>
    <w:p w:rsidR="00F0008E" w:rsidRPr="001955E9" w:rsidRDefault="00F0008E" w:rsidP="00F0008E">
      <w:pPr>
        <w:suppressAutoHyphens/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5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Sposób głosowania na kandydatów</w:t>
      </w:r>
    </w:p>
    <w:p w:rsidR="00F0008E" w:rsidRPr="001955E9" w:rsidRDefault="00F0008E" w:rsidP="00F0008E">
      <w:pPr>
        <w:numPr>
          <w:ilvl w:val="0"/>
          <w:numId w:val="3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Delegat głosuje „ZA” poprzez pozostawienie danego kandydata bez skreślenia.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Skreślenie danego kandydata linią ciągłą oznacza oddanie głosu „PRZECIW”.</w:t>
      </w:r>
    </w:p>
    <w:p w:rsidR="00F0008E" w:rsidRPr="001955E9" w:rsidRDefault="00F0008E" w:rsidP="00F0008E">
      <w:pPr>
        <w:numPr>
          <w:ilvl w:val="0"/>
          <w:numId w:val="3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Dopisywanie na karcie do głosowania innych kandydatów powoduje nieważność oddanego głosu.</w:t>
      </w:r>
    </w:p>
    <w:p w:rsidR="00F0008E" w:rsidRPr="001955E9" w:rsidRDefault="00F0008E" w:rsidP="00F0008E">
      <w:pPr>
        <w:numPr>
          <w:ilvl w:val="0"/>
          <w:numId w:val="3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Karta do głosowania, na której nie dokonano wymaganej minimalnej liczby skreśleń skutkuje nieważnością oddanego głosu.</w:t>
      </w:r>
    </w:p>
    <w:p w:rsidR="00F0008E" w:rsidRPr="001955E9" w:rsidRDefault="00F0008E" w:rsidP="00F0008E">
      <w:pPr>
        <w:numPr>
          <w:ilvl w:val="0"/>
          <w:numId w:val="3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Skreślenie większej liczby kandydatów niż wybierana, nie powoduje unieważnienia oddanego głosu.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6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Wybór prezesa Zarządu Głównego /zarządu okręgu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Kandydata na prezesa zgłasza Komisja Wyborcza wraz z odpowiednią rekomendacją.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Delegaci mogą zgłaszać innych kandydatów wraz z uzasadnieniem, z tym zastrzeżeniem,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że delegat ma prawo do zgłoszenia tylko jednego kandydata.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Po sprawdzeniu przez Komisję Wyborczą biernego prawa wyborczego zgodnie z § 1 ust. 2 oraz § 4 ust. 4 Ordynacji, kandydat zostaje wpisany na listę wyborczą.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Po zamknięciu listy kandydatów, przewodniczący Komisji Wyborczej przekazuje listę Komisji Skrutacyjnej, która przeprowadza głosowanie zgodnie z procedurą określoną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Ordynacji wyborczej.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przypadku, gdy w wyborach bierze udział tylko jeden kandydat, wybór następuje, gdy kandydat uzyskał większą liczbę głosów „ZA”.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w wyborach bierze udział dwóch kandydatów, </w:t>
      </w:r>
      <w:r w:rsidRPr="001955E9">
        <w:rPr>
          <w:rFonts w:ascii="Times New Roman" w:eastAsia="Times New Roman" w:hAnsi="Times New Roman"/>
          <w:iCs/>
          <w:sz w:val="24"/>
          <w:szCs w:val="24"/>
          <w:lang w:eastAsia="ar-SA"/>
        </w:rPr>
        <w:t>funkcję obejmuje kandydat, który uzyskał</w:t>
      </w:r>
      <w:r w:rsidRPr="001955E9">
        <w:rPr>
          <w:rFonts w:ascii="Times New Roman" w:eastAsia="Times New Roman" w:hAnsi="Times New Roman"/>
          <w:iCs/>
          <w:color w:val="C00000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większą liczbę głosów „ZA”.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trzech lub więcej kandydatów, jeśli żaden z nich nie uzyska bezwzględnej większości głosów (ponad 50% delegatów obecnych na Zjeździe), przeprowadzana jest druga tura głosowania. W drugiej turze uczestniczą dwaj kandydaci z największą liczbą głosów,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a funkcję obejmuje kandydat,</w:t>
      </w:r>
      <w:r w:rsidRPr="001955E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który uzyskał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większą liczbę głosów „ZA”.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Dopisywanie niezgłoszonych wcześniej kandydatur lub pozostawienie na karcie więcej niż jednego kandydata powoduje unieważnienie oddanego głosu.</w:t>
      </w:r>
    </w:p>
    <w:p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Kandydaci, którzy nie zostali wybrani na funkcję prezesa Zarządu Głównego / zarządu okręgu mogą ubiegać się o wybór do Zarządu Głównego / zarządu okręgu lub organów Związku właściwego szczebla.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7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Wybory władz i organów na szczeblu krajowym i okręgowym</w:t>
      </w:r>
    </w:p>
    <w:p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contextualSpacing/>
        <w:jc w:val="both"/>
        <w:rPr>
          <w:rFonts w:ascii="Times New Roman" w:eastAsia="Times New Roman" w:hAnsi="Times New Roman"/>
          <w:color w:val="0070C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Kandydatów na członków władz oraz organów Związku, a także na delegatów i ich zastępców, zgłasza Komisja Wyborcza oraz delegaci, zgodnie z § 3 ust. 3 i § 3 ust. 4 Ordynacji.</w:t>
      </w:r>
    </w:p>
    <w:p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Liczba kandydatów zgłaszanych przez delegatów nie może przekroczyć 25% składu liczbowego władz i organów ustalonego przez Zjazd, zaokrąglając w dół do najbliższej liczby całkowitej. Delegat może zgłosić po jednym kandydacie do władz i organów. Po weryfikacji biernego prawa wyborczego zgodnie z § 1 ust. 2 oraz § 4 ust. 4 Ordynacji, kandydat zostaje wpisany na odpowiednią listę wyborczą. </w:t>
      </w:r>
    </w:p>
    <w:p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Po zamknięciu list kandydatów, przewodniczący Komisji Wyborczej przekazuje listy Komisji Skrutacyjnej, która przeprowadza głosowanie zgodnie z procedurą określoną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Ordynacji wyborczej.</w:t>
      </w:r>
    </w:p>
    <w:p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Wybory do władz i organów na danym szczeblu organizacyjnym odbywają się równocześnie. </w:t>
      </w:r>
    </w:p>
    <w:p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Wybór delegatów i zastępców delegatów odbywa się w głosowaniu jawnym, chyba że Zjazd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postanowi o głosowaniu tajnym.</w:t>
      </w:r>
    </w:p>
    <w:p w:rsidR="00F0008E" w:rsidRPr="001955E9" w:rsidRDefault="00F0008E" w:rsidP="00F0008E">
      <w:pPr>
        <w:numPr>
          <w:ilvl w:val="0"/>
          <w:numId w:val="14"/>
        </w:numPr>
        <w:tabs>
          <w:tab w:val="left" w:pos="284"/>
          <w:tab w:val="left" w:pos="426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Wybór delegatów i zastępców delegatów odbywa się w odrębnych głosowaniach.</w:t>
      </w:r>
    </w:p>
    <w:p w:rsidR="00F0008E" w:rsidRPr="001955E9" w:rsidRDefault="00F0008E" w:rsidP="00F0008E">
      <w:pPr>
        <w:numPr>
          <w:ilvl w:val="0"/>
          <w:numId w:val="14"/>
        </w:numPr>
        <w:tabs>
          <w:tab w:val="left" w:pos="284"/>
          <w:tab w:val="left" w:pos="426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Kandydat nie wybrany na delegata może kandydować na zastępcę delegata.</w:t>
      </w: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CD2" w:rsidRDefault="009B4CD2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0008E" w:rsidRPr="001955E9" w:rsidRDefault="00F0008E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8</w:t>
      </w:r>
    </w:p>
    <w:p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Ustalenia końcowe</w:t>
      </w:r>
    </w:p>
    <w:p w:rsidR="00F0008E" w:rsidRPr="001955E9" w:rsidRDefault="00F0008E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Delegaci zjazdów oraz członkowie uczestniczący w walnym zgromadzeniu członków koła, mają prawo zgłoszenia protestu na piśmie co do prawidłowości przebiegu Zjazdu / walnego zgromadzenia członków koła na ręce właściwego przewodniczącego, nie później niż do zakończenia zjazdu krajowego, okręgowego lub walnego zgromadzenia członków koła.</w:t>
      </w:r>
    </w:p>
    <w:p w:rsidR="00F0008E" w:rsidRPr="001955E9" w:rsidRDefault="00F0008E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Protest w odniesieniu do ust. 1 rozstrzygany jest odpowiednio przez Krajowy Zjazd Delegatów, okręgowy zjazd delegatów lub walne zgromadzenie członków koła. </w:t>
      </w:r>
    </w:p>
    <w:p w:rsidR="00F0008E" w:rsidRPr="001955E9" w:rsidRDefault="00F0008E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Wobec nieprawidłowości zgłoszonych po zamknięciu Krajowego Zjazdu Delegatów protesty rozstrzyga Zarząd Główny PZW. </w:t>
      </w:r>
    </w:p>
    <w:p w:rsidR="00F0008E" w:rsidRPr="001955E9" w:rsidRDefault="00F0008E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Wobec nieprawidłowości zgłoszonych po zamknięciu okręgowego zjazdu delegatów lub walnego zgromadzenia członków koła, stanowisko zajmuje zarząd wyższego szczebla.</w:t>
      </w:r>
    </w:p>
    <w:p w:rsidR="00F0008E" w:rsidRPr="001955E9" w:rsidRDefault="00F0008E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określonym w ust. 3 i 4 protesty składa się w nieprzekraczalnym terminie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7 dni kalendarzowych od dnia zamknięcia Zjazdu lub walnego zgromadzenia członków koła.</w:t>
      </w:r>
    </w:p>
    <w:sectPr w:rsidR="00F0008E" w:rsidRPr="001955E9" w:rsidSect="009B4CD2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8D6" w:rsidRDefault="001A28D6">
      <w:pPr>
        <w:spacing w:after="0" w:line="240" w:lineRule="auto"/>
      </w:pPr>
      <w:r>
        <w:separator/>
      </w:r>
    </w:p>
  </w:endnote>
  <w:endnote w:type="continuationSeparator" w:id="0">
    <w:p w:rsidR="001A28D6" w:rsidRDefault="001A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8D6" w:rsidRDefault="001A28D6">
      <w:pPr>
        <w:spacing w:after="0" w:line="240" w:lineRule="auto"/>
      </w:pPr>
      <w:r>
        <w:separator/>
      </w:r>
    </w:p>
  </w:footnote>
  <w:footnote w:type="continuationSeparator" w:id="0">
    <w:p w:rsidR="001A28D6" w:rsidRDefault="001A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8ECC8DC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3" w15:restartNumberingAfterBreak="0">
    <w:nsid w:val="00000006"/>
    <w:multiLevelType w:val="singleLevel"/>
    <w:tmpl w:val="8D00CCF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/>
        <w:strike w:val="0"/>
        <w:color w:val="auto"/>
      </w:rPr>
    </w:lvl>
  </w:abstractNum>
  <w:abstractNum w:abstractNumId="4" w15:restartNumberingAfterBreak="0">
    <w:nsid w:val="032D7EAE"/>
    <w:multiLevelType w:val="hybridMultilevel"/>
    <w:tmpl w:val="4F2A69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8D4B1F"/>
    <w:multiLevelType w:val="hybridMultilevel"/>
    <w:tmpl w:val="A18AA850"/>
    <w:lvl w:ilvl="0" w:tplc="AE268AE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4754B"/>
    <w:multiLevelType w:val="hybridMultilevel"/>
    <w:tmpl w:val="10BE9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4F40"/>
    <w:multiLevelType w:val="hybridMultilevel"/>
    <w:tmpl w:val="0778F086"/>
    <w:lvl w:ilvl="0" w:tplc="3D44DB44">
      <w:start w:val="1"/>
      <w:numFmt w:val="decimal"/>
      <w:lvlText w:val="%1."/>
      <w:lvlJc w:val="left"/>
      <w:pPr>
        <w:ind w:left="634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E75"/>
    <w:multiLevelType w:val="hybridMultilevel"/>
    <w:tmpl w:val="396416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B13155F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63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CA6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8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B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E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4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CC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A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DF0CCC"/>
    <w:multiLevelType w:val="hybridMultilevel"/>
    <w:tmpl w:val="1DD4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F58C7"/>
    <w:multiLevelType w:val="hybridMultilevel"/>
    <w:tmpl w:val="BF106F96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9E3BF0"/>
    <w:multiLevelType w:val="hybridMultilevel"/>
    <w:tmpl w:val="16F64D0C"/>
    <w:lvl w:ilvl="0" w:tplc="1F94BB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0A5DED"/>
    <w:multiLevelType w:val="hybridMultilevel"/>
    <w:tmpl w:val="0CAC7E7A"/>
    <w:lvl w:ilvl="0" w:tplc="74C4EE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8D1"/>
    <w:multiLevelType w:val="hybridMultilevel"/>
    <w:tmpl w:val="128E5408"/>
    <w:lvl w:ilvl="0" w:tplc="F104AC8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CD79E0"/>
    <w:multiLevelType w:val="hybridMultilevel"/>
    <w:tmpl w:val="BEECDD7E"/>
    <w:lvl w:ilvl="0" w:tplc="E2AED2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F4896"/>
    <w:multiLevelType w:val="hybridMultilevel"/>
    <w:tmpl w:val="A7B8AA4E"/>
    <w:name w:val="WW8Num18"/>
    <w:lvl w:ilvl="0" w:tplc="B49E961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D2B1A"/>
    <w:multiLevelType w:val="hybridMultilevel"/>
    <w:tmpl w:val="65C6E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178DE"/>
    <w:multiLevelType w:val="hybridMultilevel"/>
    <w:tmpl w:val="7E34EE58"/>
    <w:lvl w:ilvl="0" w:tplc="630C3214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24F5A">
      <w:start w:val="23"/>
      <w:numFmt w:val="upperLetter"/>
      <w:lvlText w:val="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0A6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E63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498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037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A20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F3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85E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BD722B"/>
    <w:multiLevelType w:val="hybridMultilevel"/>
    <w:tmpl w:val="6846A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9460B"/>
    <w:multiLevelType w:val="hybridMultilevel"/>
    <w:tmpl w:val="D1149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71283">
    <w:abstractNumId w:val="0"/>
  </w:num>
  <w:num w:numId="2" w16cid:durableId="1347757138">
    <w:abstractNumId w:val="1"/>
  </w:num>
  <w:num w:numId="3" w16cid:durableId="1288125102">
    <w:abstractNumId w:val="2"/>
  </w:num>
  <w:num w:numId="4" w16cid:durableId="852958721">
    <w:abstractNumId w:val="3"/>
  </w:num>
  <w:num w:numId="5" w16cid:durableId="1978954262">
    <w:abstractNumId w:val="16"/>
  </w:num>
  <w:num w:numId="6" w16cid:durableId="1660184894">
    <w:abstractNumId w:val="10"/>
  </w:num>
  <w:num w:numId="7" w16cid:durableId="1873761089">
    <w:abstractNumId w:val="6"/>
  </w:num>
  <w:num w:numId="8" w16cid:durableId="730351316">
    <w:abstractNumId w:val="4"/>
  </w:num>
  <w:num w:numId="9" w16cid:durableId="1014499682">
    <w:abstractNumId w:val="8"/>
  </w:num>
  <w:num w:numId="10" w16cid:durableId="271783089">
    <w:abstractNumId w:val="19"/>
  </w:num>
  <w:num w:numId="11" w16cid:durableId="1700543179">
    <w:abstractNumId w:val="13"/>
  </w:num>
  <w:num w:numId="12" w16cid:durableId="2090299027">
    <w:abstractNumId w:val="15"/>
  </w:num>
  <w:num w:numId="13" w16cid:durableId="1000890904">
    <w:abstractNumId w:val="20"/>
  </w:num>
  <w:num w:numId="14" w16cid:durableId="1514107418">
    <w:abstractNumId w:val="5"/>
  </w:num>
  <w:num w:numId="15" w16cid:durableId="64685501">
    <w:abstractNumId w:val="11"/>
  </w:num>
  <w:num w:numId="16" w16cid:durableId="1750735732">
    <w:abstractNumId w:val="18"/>
  </w:num>
  <w:num w:numId="17" w16cid:durableId="1981106542">
    <w:abstractNumId w:val="9"/>
  </w:num>
  <w:num w:numId="18" w16cid:durableId="1766725421">
    <w:abstractNumId w:val="14"/>
  </w:num>
  <w:num w:numId="19" w16cid:durableId="1094977151">
    <w:abstractNumId w:val="17"/>
  </w:num>
  <w:num w:numId="20" w16cid:durableId="1906598881">
    <w:abstractNumId w:val="12"/>
  </w:num>
  <w:num w:numId="21" w16cid:durableId="1870414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8E"/>
    <w:rsid w:val="000C186B"/>
    <w:rsid w:val="001A28D6"/>
    <w:rsid w:val="001F05BF"/>
    <w:rsid w:val="002F6887"/>
    <w:rsid w:val="00642FB4"/>
    <w:rsid w:val="00880868"/>
    <w:rsid w:val="00965E15"/>
    <w:rsid w:val="009B4CD2"/>
    <w:rsid w:val="00C8487A"/>
    <w:rsid w:val="00DC7F72"/>
    <w:rsid w:val="00F0008E"/>
    <w:rsid w:val="00F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706A"/>
  <w15:chartTrackingRefBased/>
  <w15:docId w15:val="{D2831C6F-3A1E-4C61-A121-86A0F35E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08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0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D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D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1555</Words>
  <Characters>9336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2</cp:revision>
  <dcterms:created xsi:type="dcterms:W3CDTF">2025-06-24T05:59:00Z</dcterms:created>
  <dcterms:modified xsi:type="dcterms:W3CDTF">2025-06-24T05:59:00Z</dcterms:modified>
</cp:coreProperties>
</file>